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B278D6">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pPr>
      <w:bookmarkStart w:id="0" w:name="_GoBack"/>
      <w:r>
        <w:rPr>
          <w:rFonts w:ascii="方正小标宋简体" w:hAnsi="方正小标宋简体" w:eastAsia="方正小标宋简体" w:cs="方正小标宋简体"/>
          <w:sz w:val="44"/>
          <w:szCs w:val="44"/>
        </w:rPr>
        <w:t>关于《关于深化新型智慧城市建设</w:t>
      </w:r>
      <w:r>
        <w:rPr>
          <w:rFonts w:hint="eastAsia" w:ascii="方正小标宋简体" w:hAnsi="方正小标宋简体" w:eastAsia="方正小标宋简体" w:cs="方正小标宋简体"/>
          <w:sz w:val="44"/>
          <w:szCs w:val="44"/>
        </w:rPr>
        <w:t> 推进城市</w:t>
      </w:r>
    </w:p>
    <w:p w14:paraId="340932D9">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方正小标宋简体" w:hAnsi="方正小标宋简体" w:eastAsia="方正小标宋简体" w:cs="方正小标宋简体"/>
          <w:sz w:val="44"/>
          <w:szCs w:val="44"/>
        </w:rPr>
        <w:t>全域数字化转型的实施意见》起草情况</w:t>
      </w:r>
    </w:p>
    <w:p w14:paraId="4BDD1055">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方正小标宋简体" w:hAnsi="方正小标宋简体" w:eastAsia="方正小标宋简体" w:cs="方正小标宋简体"/>
          <w:sz w:val="44"/>
          <w:szCs w:val="44"/>
        </w:rPr>
        <w:t>的说明</w:t>
      </w:r>
    </w:p>
    <w:bookmarkEnd w:id="0"/>
    <w:p w14:paraId="6C4FBFDF">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textAlignment w:val="auto"/>
      </w:pPr>
      <w:r>
        <w:rPr>
          <w:rFonts w:ascii="仿宋_GB2312" w:eastAsia="仿宋_GB2312" w:cs="仿宋_GB2312"/>
          <w:sz w:val="32"/>
          <w:szCs w:val="32"/>
        </w:rPr>
        <w:t> </w:t>
      </w:r>
    </w:p>
    <w:p w14:paraId="793ABC7D">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textAlignment w:val="auto"/>
      </w:pPr>
      <w:r>
        <w:rPr>
          <w:rFonts w:hint="eastAsia" w:ascii="仿宋_GB2312" w:eastAsia="仿宋_GB2312" w:cs="仿宋_GB2312"/>
          <w:sz w:val="32"/>
          <w:szCs w:val="32"/>
        </w:rPr>
        <w:t>按照数字中国、数字强省战略部署和工作要求，济南市大数据局牵头研究起草了《关于深化新型智慧城市建设 推进城市全域数字化转型的实施意见》（以下简称为《实施意见》），具体起草情况说明如下：</w:t>
      </w:r>
    </w:p>
    <w:p w14:paraId="7E3E5331">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textAlignment w:val="auto"/>
      </w:pPr>
      <w:r>
        <w:rPr>
          <w:rFonts w:ascii="黑体" w:hAnsi="宋体" w:eastAsia="黑体" w:cs="黑体"/>
          <w:sz w:val="32"/>
          <w:szCs w:val="32"/>
        </w:rPr>
        <w:t>一、起草背景</w:t>
      </w:r>
    </w:p>
    <w:p w14:paraId="41D8078A">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textAlignment w:val="auto"/>
      </w:pPr>
      <w:r>
        <w:rPr>
          <w:rFonts w:hint="eastAsia" w:ascii="仿宋_GB2312" w:eastAsia="仿宋_GB2312" w:cs="仿宋_GB2312"/>
          <w:sz w:val="32"/>
          <w:szCs w:val="32"/>
        </w:rPr>
        <w:t>济南市委、市政府决策实施新型智慧城市建设以来，先后制发了《济南市新型智慧城市建设三年行动计划（2018-2020）》《关于进一步加快新型智慧城市建设的实施意见》《关于促进济南新型智慧城市建设提质提速的实施意见（2023—2025年）》等文件，济南新型智慧城市建设取得了阶段性重要成果。2024年，国家数据局、山东数字强省建设领导小组办公室相继印发《关于深化智慧城市发展推进城市全域数字化转型的指导意见》（发改数据〔2024〕660号）、《关于深化新型智慧城市建设推进城市全域数字化转型的实施意见》，提出要紧紧围绕数字中国、数字强省建设的决策部署，以数据融通、开发利用贯穿城市全域数字化转型建设始终，更好服务城市高质量发展、高效能治理、高品质生活，支撑发展新质生产力，推进中国式现代化城市建设。济南市大数据局认真贯彻落实上级部署要求，在梳理总结前期工作的基础上，对标先进，高标准高起点，牵头起草了《实施意见》。</w:t>
      </w:r>
    </w:p>
    <w:p w14:paraId="4C60593A">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textAlignment w:val="auto"/>
      </w:pPr>
      <w:r>
        <w:rPr>
          <w:rFonts w:hint="eastAsia" w:ascii="黑体" w:hAnsi="宋体" w:eastAsia="黑体" w:cs="黑体"/>
          <w:sz w:val="32"/>
          <w:szCs w:val="32"/>
        </w:rPr>
        <w:t>二、起草过程</w:t>
      </w:r>
    </w:p>
    <w:p w14:paraId="35A2E4C9">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textAlignment w:val="auto"/>
      </w:pPr>
      <w:r>
        <w:rPr>
          <w:rFonts w:hint="eastAsia" w:ascii="仿宋_GB2312" w:eastAsia="仿宋_GB2312" w:cs="仿宋_GB2312"/>
          <w:sz w:val="32"/>
          <w:szCs w:val="32"/>
        </w:rPr>
        <w:t>为全面贯彻落实国家、省关于新型智慧城市建设工作要求，加快推动具有济南特色的新型智慧城市建设，近期，济南市大数据局成立起草小组，认真起草《实施意见》，力争《实施意见》高站位、采众长、见实效。起草过程中，着重抓好以下三个方面：</w:t>
      </w:r>
    </w:p>
    <w:p w14:paraId="4D8FDAC1">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textAlignment w:val="auto"/>
      </w:pPr>
      <w:r>
        <w:rPr>
          <w:rFonts w:ascii="楷体_GB2312" w:eastAsia="楷体_GB2312" w:cs="楷体_GB2312"/>
          <w:sz w:val="32"/>
          <w:szCs w:val="32"/>
        </w:rPr>
        <w:t>（一）深刻理解国家战略部署。</w:t>
      </w:r>
      <w:r>
        <w:rPr>
          <w:rFonts w:hint="eastAsia" w:ascii="仿宋_GB2312" w:eastAsia="仿宋_GB2312" w:cs="仿宋_GB2312"/>
          <w:sz w:val="32"/>
          <w:szCs w:val="32"/>
        </w:rPr>
        <w:t>深入贯彻习近平总书记关于网络强国、数字中国的重要思想，以及党的二十大“打造宜居、韧性、智慧城市”的战略部署，坚持推进数字化、智慧化手段与城市高质量发展深度融合，加快人民城市的智慧化、人文化转型，提升城市治理现代化水平。</w:t>
      </w:r>
    </w:p>
    <w:p w14:paraId="05DFEDC7">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textAlignment w:val="auto"/>
      </w:pPr>
      <w:r>
        <w:rPr>
          <w:rFonts w:hint="eastAsia" w:ascii="楷体_GB2312" w:eastAsia="楷体_GB2312" w:cs="楷体_GB2312"/>
          <w:sz w:val="32"/>
          <w:szCs w:val="32"/>
        </w:rPr>
        <w:t>（二）深入贯彻省级工作要求。</w:t>
      </w:r>
      <w:r>
        <w:rPr>
          <w:rFonts w:hint="eastAsia" w:ascii="仿宋_GB2312" w:eastAsia="仿宋_GB2312" w:cs="仿宋_GB2312"/>
          <w:sz w:val="32"/>
          <w:szCs w:val="32"/>
        </w:rPr>
        <w:t>深入研究省委、省政府关于新型智慧城市建设的最新工作部署，专题学习省《关于深化新型智慧城市建设推进城市全域数字化转型的实施意见》等文件精神，领会工作思路、工作举措和重点任务，切实用以指导我市具体实践。</w:t>
      </w:r>
    </w:p>
    <w:p w14:paraId="571D81A5">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textAlignment w:val="auto"/>
      </w:pPr>
      <w:r>
        <w:rPr>
          <w:rFonts w:hint="eastAsia" w:ascii="楷体_GB2312" w:eastAsia="楷体_GB2312" w:cs="楷体_GB2312"/>
          <w:sz w:val="32"/>
          <w:szCs w:val="32"/>
        </w:rPr>
        <w:t>（三）全面结合我市发展实际。</w:t>
      </w:r>
      <w:r>
        <w:rPr>
          <w:rFonts w:hint="eastAsia" w:ascii="仿宋_GB2312" w:eastAsia="仿宋_GB2312" w:cs="仿宋_GB2312"/>
          <w:sz w:val="32"/>
          <w:szCs w:val="32"/>
        </w:rPr>
        <w:t>围绕济南新型智慧城市建设的差异化、个性化需求，加强统筹规划和协同布局,面向</w:t>
      </w:r>
      <w:r>
        <w:rPr>
          <w:rFonts w:hint="eastAsia" w:ascii="仿宋_GB2312" w:eastAsia="仿宋_GB2312" w:cs="仿宋_GB2312"/>
          <w:sz w:val="32"/>
          <w:szCs w:val="32"/>
          <w:lang w:val="en-US" w:eastAsia="zh-CN"/>
        </w:rPr>
        <w:t>27</w:t>
      </w:r>
      <w:r>
        <w:rPr>
          <w:rFonts w:hint="eastAsia" w:ascii="仿宋_GB2312" w:eastAsia="仿宋_GB2312" w:cs="仿宋_GB2312"/>
          <w:sz w:val="32"/>
          <w:szCs w:val="32"/>
        </w:rPr>
        <w:t>个市直部门和15个区县（功能区）多轮征求意见，经认真修改完善，形成了此次征求意见稿。</w:t>
      </w:r>
    </w:p>
    <w:p w14:paraId="3B2ED0DD">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textAlignment w:val="auto"/>
      </w:pPr>
      <w:r>
        <w:rPr>
          <w:rFonts w:hint="eastAsia" w:ascii="黑体" w:hAnsi="宋体" w:eastAsia="黑体" w:cs="黑体"/>
          <w:sz w:val="32"/>
          <w:szCs w:val="32"/>
        </w:rPr>
        <w:t>三、主要内容</w:t>
      </w:r>
    </w:p>
    <w:p w14:paraId="53621FA5">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textAlignment w:val="auto"/>
      </w:pPr>
      <w:r>
        <w:rPr>
          <w:rFonts w:hint="eastAsia" w:ascii="仿宋_GB2312" w:eastAsia="仿宋_GB2312" w:cs="仿宋_GB2312"/>
          <w:sz w:val="32"/>
          <w:szCs w:val="32"/>
        </w:rPr>
        <w:t>《实施意见》包括总体目标、全领域推进城市数字化转型、全方位增强城市数字化转型支撑、全过程优化城市数字化转型生态、保障措施5部分，共</w:t>
      </w:r>
      <w:r>
        <w:rPr>
          <w:rFonts w:hint="eastAsia" w:ascii="仿宋_GB2312" w:eastAsia="仿宋_GB2312" w:cs="仿宋_GB2312"/>
          <w:sz w:val="32"/>
          <w:szCs w:val="32"/>
          <w:lang w:val="en-US" w:eastAsia="zh-CN"/>
        </w:rPr>
        <w:t>28</w:t>
      </w:r>
      <w:r>
        <w:rPr>
          <w:rFonts w:hint="eastAsia" w:ascii="仿宋_GB2312" w:eastAsia="仿宋_GB2312" w:cs="仿宋_GB2312"/>
          <w:sz w:val="32"/>
          <w:szCs w:val="32"/>
        </w:rPr>
        <w:t>条。主要内容概括如下：</w:t>
      </w:r>
    </w:p>
    <w:p w14:paraId="245C98EA">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textAlignment w:val="auto"/>
      </w:pPr>
      <w:r>
        <w:rPr>
          <w:rFonts w:hint="eastAsia" w:ascii="楷体_GB2312" w:eastAsia="楷体_GB2312" w:cs="楷体_GB2312"/>
          <w:sz w:val="32"/>
          <w:szCs w:val="32"/>
        </w:rPr>
        <w:t>（一）总体目标</w:t>
      </w:r>
    </w:p>
    <w:p w14:paraId="2454C684">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textAlignment w:val="auto"/>
      </w:pPr>
      <w:r>
        <w:rPr>
          <w:rFonts w:hint="eastAsia" w:ascii="仿宋_GB2312" w:eastAsia="仿宋_GB2312" w:cs="仿宋_GB2312"/>
          <w:sz w:val="32"/>
          <w:szCs w:val="32"/>
        </w:rPr>
        <w:t>深入贯彻习近平总书记关于数字中国建设和城市数字化转型的重要论述，落实省委、省政府“走在前、开新局”战略部署，以“数赋泉城、智引未来”为工作主线，打造泉城数据智能体系，全面推进城市经济社会数字化转型，构筑济南城市数字化发展新优势，打造全国一流的数字先锋城市。到2027年，全市数字化转型实现整体跃迁，建成全国领先、特色鲜明的数字先锋城市，成为黄河流域数字化转型引领区和全国创新样板，为中国式现代化济南实践提供强劲动能。</w:t>
      </w:r>
    </w:p>
    <w:p w14:paraId="0F754FC1">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textAlignment w:val="auto"/>
      </w:pPr>
      <w:r>
        <w:rPr>
          <w:rFonts w:hint="eastAsia" w:ascii="楷体_GB2312" w:eastAsia="楷体_GB2312" w:cs="楷体_GB2312"/>
          <w:sz w:val="32"/>
          <w:szCs w:val="32"/>
        </w:rPr>
        <w:t>（二）全领域推进城市数字化转型</w:t>
      </w:r>
    </w:p>
    <w:p w14:paraId="4F706188">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textAlignment w:val="auto"/>
      </w:pPr>
      <w:r>
        <w:rPr>
          <w:rFonts w:hint="eastAsia" w:ascii="仿宋_GB2312" w:eastAsia="仿宋_GB2312" w:cs="仿宋_GB2312"/>
          <w:sz w:val="32"/>
          <w:szCs w:val="32"/>
        </w:rPr>
        <w:t>助力城市数字经济创新发展，促进数字产业化跃升，加速产业数字化转型，加快数据要素价值化改革，推动新兴数字产业加快发展；推进城市精细高效管理，推进城市管理数智赋能，提升经营主体治理服务水平，健全数字法治协同化和基层智治体系； 促进城市普惠服务便捷普惠，持续提升政务服务效能，健全数智员工体系，提升涉企服务和基层服务效能，打造城市绿色智慧宜居环境，提升资源环境数字化监管能力，加快数字化绿色化协同转型发展；加强城市安全韧性防控水平，强化应急安全管理能力，完善数字安全防护体系。</w:t>
      </w:r>
    </w:p>
    <w:p w14:paraId="32D90ED3">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textAlignment w:val="auto"/>
      </w:pPr>
      <w:r>
        <w:rPr>
          <w:rFonts w:hint="eastAsia" w:ascii="楷体_GB2312" w:eastAsia="楷体_GB2312" w:cs="楷体_GB2312"/>
          <w:sz w:val="32"/>
          <w:szCs w:val="32"/>
        </w:rPr>
        <w:t>（三）全方位增强城市数字化转型支撑</w:t>
      </w:r>
    </w:p>
    <w:p w14:paraId="4D42D661">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textAlignment w:val="auto"/>
      </w:pPr>
      <w:r>
        <w:rPr>
          <w:rFonts w:hint="eastAsia" w:ascii="仿宋_GB2312" w:eastAsia="仿宋_GB2312" w:cs="仿宋_GB2312"/>
          <w:sz w:val="32"/>
          <w:szCs w:val="32"/>
        </w:rPr>
        <w:t>升级城市数字化共性基础。做强智慧泉城中枢，打造集成化数字资源体系，加快视频资源智慧化应用；优化提升数字基础设施，升级城市网络基础、算力基础设施建设。</w:t>
      </w:r>
    </w:p>
    <w:p w14:paraId="6C4EDDBF">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textAlignment w:val="auto"/>
      </w:pPr>
      <w:r>
        <w:rPr>
          <w:rFonts w:hint="eastAsia" w:ascii="楷体_GB2312" w:eastAsia="楷体_GB2312" w:cs="楷体_GB2312"/>
          <w:sz w:val="32"/>
          <w:szCs w:val="32"/>
        </w:rPr>
        <w:t>（四）全过程优化城市数字化转型生态</w:t>
      </w:r>
    </w:p>
    <w:p w14:paraId="1C7BD6BB">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textAlignment w:val="auto"/>
      </w:pPr>
      <w:r>
        <w:rPr>
          <w:rFonts w:hint="eastAsia" w:ascii="仿宋_GB2312" w:eastAsia="仿宋_GB2312" w:cs="仿宋_GB2312"/>
          <w:sz w:val="32"/>
          <w:szCs w:val="32"/>
        </w:rPr>
        <w:t>推进适数化制度创新。推动城市管理服务手段、模式和理念的适数化变革与制度创新，建立可持续数字生态。探索多方共建机制创新，创新城市运营运维模式，丰富社会力量参与渠道，打造城市数字化转型生态圈；推动区域数字化协同发展，加强区域协同发展和城乡融合发展。</w:t>
      </w:r>
    </w:p>
    <w:p w14:paraId="4BE133C0">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textAlignment w:val="auto"/>
      </w:pPr>
      <w:r>
        <w:rPr>
          <w:rFonts w:hint="eastAsia" w:ascii="楷体_GB2312" w:eastAsia="楷体_GB2312" w:cs="楷体_GB2312"/>
          <w:sz w:val="32"/>
          <w:szCs w:val="32"/>
        </w:rPr>
        <w:t>（五）保障措施</w:t>
      </w:r>
    </w:p>
    <w:p w14:paraId="2B063170">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textAlignment w:val="auto"/>
      </w:pPr>
      <w:r>
        <w:rPr>
          <w:rFonts w:hint="eastAsia" w:ascii="仿宋_GB2312" w:eastAsia="仿宋_GB2312" w:cs="仿宋_GB2312"/>
          <w:sz w:val="32"/>
          <w:szCs w:val="32"/>
        </w:rPr>
        <w:t>在数字济南建设领导小组架构下，完善各级各部门数字化转型工作机制，加强城市数字化转型规划设计、统筹协调、整体推进、督促落实，确保重点建设项目落地落实。坚持市场运作、政府扶持，探索多方投入机制，鼓励企业、社会组织参与数字化转型建设。强化数字化人才队伍建设，提升市民数字素养。举办不同层次的宣传推介活动，营造城市数字化转型浓厚氛围。大力宣传数字化试点示范经验做法，</w:t>
      </w:r>
      <w:r>
        <w:rPr>
          <w:rFonts w:hint="eastAsia" w:ascii="仿宋_GB2312" w:eastAsia="仿宋_GB2312" w:cs="仿宋_GB2312"/>
          <w:spacing w:val="8"/>
          <w:sz w:val="32"/>
          <w:szCs w:val="32"/>
        </w:rPr>
        <w:t>打造济南特色数字化转型品牌。</w:t>
      </w:r>
    </w:p>
    <w:p w14:paraId="226B9F27">
      <w:pPr>
        <w:rPr>
          <w:rFonts w:hint="eastAsia"/>
        </w:rPr>
      </w:pPr>
    </w:p>
    <w:sectPr>
      <w:footerReference r:id="rId3" w:type="default"/>
      <w:pgSz w:w="11906" w:h="16838"/>
      <w:pgMar w:top="2098" w:right="1474" w:bottom="1985" w:left="1588" w:header="851" w:footer="992" w:gutter="0"/>
      <w:cols w:space="425" w:num="1"/>
      <w:docGrid w:type="linesAndChar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383289"/>
      <w:docPartObj>
        <w:docPartGallery w:val="autotext"/>
      </w:docPartObj>
    </w:sdtPr>
    <w:sdtContent>
      <w:p w14:paraId="426981DE">
        <w:pPr>
          <w:pStyle w:val="11"/>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262A6D0F">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28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F61"/>
    <w:rsid w:val="00090D57"/>
    <w:rsid w:val="004D3090"/>
    <w:rsid w:val="006408EE"/>
    <w:rsid w:val="00665C4E"/>
    <w:rsid w:val="0069285D"/>
    <w:rsid w:val="008179B9"/>
    <w:rsid w:val="008B2F59"/>
    <w:rsid w:val="00A4194F"/>
    <w:rsid w:val="00CB1F58"/>
    <w:rsid w:val="00D36C53"/>
    <w:rsid w:val="00DC3420"/>
    <w:rsid w:val="00DE2D12"/>
    <w:rsid w:val="00F45397"/>
    <w:rsid w:val="00F73F61"/>
    <w:rsid w:val="0B220DDB"/>
    <w:rsid w:val="2F6824F8"/>
    <w:rsid w:val="314D409C"/>
    <w:rsid w:val="31CF2B1C"/>
    <w:rsid w:val="4EDF237F"/>
    <w:rsid w:val="698C2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376092"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376092"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376092"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37609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376092" w:themeColor="accent1" w:themeShade="BF"/>
      <w:sz w:val="24"/>
      <w:szCs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376092"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footer"/>
    <w:basedOn w:val="1"/>
    <w:link w:val="37"/>
    <w:unhideWhenUsed/>
    <w:uiPriority w:val="99"/>
    <w:pPr>
      <w:tabs>
        <w:tab w:val="center" w:pos="4153"/>
        <w:tab w:val="right" w:pos="8306"/>
      </w:tabs>
      <w:snapToGrid w:val="0"/>
      <w:jc w:val="left"/>
    </w:pPr>
    <w:rPr>
      <w:sz w:val="18"/>
      <w:szCs w:val="18"/>
    </w:rPr>
  </w:style>
  <w:style w:type="paragraph" w:styleId="12">
    <w:name w:val="header"/>
    <w:basedOn w:val="1"/>
    <w:link w:val="36"/>
    <w:unhideWhenUsed/>
    <w:uiPriority w:val="99"/>
    <w:pPr>
      <w:tabs>
        <w:tab w:val="center" w:pos="4153"/>
        <w:tab w:val="right" w:pos="8306"/>
      </w:tabs>
      <w:snapToGrid w:val="0"/>
      <w:jc w:val="center"/>
    </w:pPr>
    <w:rPr>
      <w:sz w:val="18"/>
      <w:szCs w:val="18"/>
    </w:rPr>
  </w:style>
  <w:style w:type="paragraph" w:styleId="13">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styleId="15">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8">
    <w:name w:val="标题 1 字符"/>
    <w:basedOn w:val="17"/>
    <w:link w:val="2"/>
    <w:uiPriority w:val="9"/>
    <w:rPr>
      <w:rFonts w:asciiTheme="majorHAnsi" w:hAnsiTheme="majorHAnsi" w:eastAsiaTheme="majorEastAsia" w:cstheme="majorBidi"/>
      <w:color w:val="376092" w:themeColor="accent1" w:themeShade="BF"/>
      <w:sz w:val="48"/>
      <w:szCs w:val="48"/>
    </w:rPr>
  </w:style>
  <w:style w:type="character" w:customStyle="1" w:styleId="19">
    <w:name w:val="标题 2 字符"/>
    <w:basedOn w:val="17"/>
    <w:link w:val="3"/>
    <w:semiHidden/>
    <w:uiPriority w:val="9"/>
    <w:rPr>
      <w:rFonts w:asciiTheme="majorHAnsi" w:hAnsiTheme="majorHAnsi" w:eastAsiaTheme="majorEastAsia" w:cstheme="majorBidi"/>
      <w:color w:val="376092" w:themeColor="accent1" w:themeShade="BF"/>
      <w:sz w:val="40"/>
      <w:szCs w:val="40"/>
    </w:rPr>
  </w:style>
  <w:style w:type="character" w:customStyle="1" w:styleId="20">
    <w:name w:val="标题 3 字符"/>
    <w:basedOn w:val="17"/>
    <w:link w:val="4"/>
    <w:semiHidden/>
    <w:uiPriority w:val="9"/>
    <w:rPr>
      <w:rFonts w:asciiTheme="majorHAnsi" w:hAnsiTheme="majorHAnsi" w:eastAsiaTheme="majorEastAsia" w:cstheme="majorBidi"/>
      <w:color w:val="376092" w:themeColor="accent1" w:themeShade="BF"/>
      <w:sz w:val="32"/>
      <w:szCs w:val="32"/>
    </w:rPr>
  </w:style>
  <w:style w:type="character" w:customStyle="1" w:styleId="21">
    <w:name w:val="标题 4 字符"/>
    <w:basedOn w:val="17"/>
    <w:link w:val="5"/>
    <w:semiHidden/>
    <w:uiPriority w:val="9"/>
    <w:rPr>
      <w:rFonts w:cstheme="majorBidi"/>
      <w:color w:val="376092" w:themeColor="accent1" w:themeShade="BF"/>
      <w:sz w:val="28"/>
      <w:szCs w:val="28"/>
    </w:rPr>
  </w:style>
  <w:style w:type="character" w:customStyle="1" w:styleId="22">
    <w:name w:val="标题 5 字符"/>
    <w:basedOn w:val="17"/>
    <w:link w:val="6"/>
    <w:semiHidden/>
    <w:uiPriority w:val="9"/>
    <w:rPr>
      <w:rFonts w:cstheme="majorBidi"/>
      <w:color w:val="376092" w:themeColor="accent1" w:themeShade="BF"/>
      <w:sz w:val="24"/>
      <w:szCs w:val="24"/>
    </w:rPr>
  </w:style>
  <w:style w:type="character" w:customStyle="1" w:styleId="23">
    <w:name w:val="标题 6 字符"/>
    <w:basedOn w:val="17"/>
    <w:link w:val="7"/>
    <w:semiHidden/>
    <w:uiPriority w:val="9"/>
    <w:rPr>
      <w:rFonts w:cstheme="majorBidi"/>
      <w:b/>
      <w:bCs/>
      <w:color w:val="376092" w:themeColor="accent1" w:themeShade="BF"/>
    </w:rPr>
  </w:style>
  <w:style w:type="character" w:customStyle="1" w:styleId="24">
    <w:name w:val="标题 7 字符"/>
    <w:basedOn w:val="17"/>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5"/>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7"/>
    <w:qFormat/>
    <w:uiPriority w:val="21"/>
    <w:rPr>
      <w:i/>
      <w:iCs/>
      <w:color w:val="376092" w:themeColor="accent1" w:themeShade="BF"/>
    </w:rPr>
  </w:style>
  <w:style w:type="paragraph" w:styleId="33">
    <w:name w:val="Intense Quote"/>
    <w:basedOn w:val="1"/>
    <w:next w:val="1"/>
    <w:link w:val="34"/>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34">
    <w:name w:val="明显引用 字符"/>
    <w:basedOn w:val="17"/>
    <w:link w:val="33"/>
    <w:qFormat/>
    <w:uiPriority w:val="30"/>
    <w:rPr>
      <w:i/>
      <w:iCs/>
      <w:color w:val="376092" w:themeColor="accent1" w:themeShade="BF"/>
    </w:rPr>
  </w:style>
  <w:style w:type="character" w:customStyle="1" w:styleId="35">
    <w:name w:val="Intense Reference"/>
    <w:basedOn w:val="17"/>
    <w:qFormat/>
    <w:uiPriority w:val="32"/>
    <w:rPr>
      <w:b/>
      <w:bCs/>
      <w:smallCaps/>
      <w:color w:val="376092" w:themeColor="accent1" w:themeShade="BF"/>
      <w:spacing w:val="5"/>
    </w:rPr>
  </w:style>
  <w:style w:type="character" w:customStyle="1" w:styleId="36">
    <w:name w:val="页眉 字符"/>
    <w:basedOn w:val="17"/>
    <w:link w:val="12"/>
    <w:uiPriority w:val="99"/>
    <w:rPr>
      <w:sz w:val="18"/>
      <w:szCs w:val="18"/>
    </w:rPr>
  </w:style>
  <w:style w:type="character" w:customStyle="1" w:styleId="37">
    <w:name w:val="页脚 字符"/>
    <w:basedOn w:val="17"/>
    <w:link w:val="11"/>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1937</Words>
  <Characters>1965</Characters>
  <Lines>14</Lines>
  <Paragraphs>3</Paragraphs>
  <TotalTime>53</TotalTime>
  <ScaleCrop>false</ScaleCrop>
  <LinksUpToDate>false</LinksUpToDate>
  <CharactersWithSpaces>1969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2025-07-18T05:11:00Z</dcterms:created>
  <dc:creator>Peng Liu (刘朋)-浪潮智慧城市</dc:creator>
  <cp:lastModifiedBy>薇润</cp:lastModifiedBy>
  <dcterms:modified xsi:type="dcterms:W3CDTF">2025-07-22T06:55:54Z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eyJoZGlkIjoiMWFjMzMxNGM1MTczMmEwYjZhNzEzYWE4MTU2MTc1MjQiLCJ1c2VySWQiOiIyNzUxNTM5MjUifQ==</vt:lpwstr>
  </property>
  <property fmtid="{D5CDD505-2E9C-101B-9397-08002B2CF9AE}" pid="3" name="KSOProductBuildVer">
    <vt:lpwstr>2052-12.1.0.21915</vt:lpwstr>
  </property>
  <property fmtid="{D5CDD505-2E9C-101B-9397-08002B2CF9AE}" pid="4" name="ICV">
    <vt:lpwstr>41FC19B0BC494BF490727EC894989BAE_13</vt:lpwstr>
  </property>
</Properties>
</file>