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《济南市数据登记暂行办法（征求意见稿）》</w:t>
      </w:r>
    </w:p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起草说明</w:t>
      </w:r>
    </w:p>
    <w:p>
      <w:pPr>
        <w:pStyle w:val="7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</w:pP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一、起草背景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/>
          <w:color w:val="auto"/>
          <w:highlight w:val="none"/>
          <w:u w:val="none"/>
        </w:rPr>
        <w:t>贯彻落实《中共中央</w:t>
      </w:r>
      <w:r>
        <w:rPr>
          <w:rFonts w:hint="eastAsia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u w:val="none"/>
        </w:rPr>
        <w:t>国务院关于构建数据基础制度更好发挥数据要素作用的意见》等</w:t>
      </w:r>
      <w:r>
        <w:rPr>
          <w:rFonts w:hint="eastAsia"/>
          <w:color w:val="auto"/>
          <w:highlight w:val="none"/>
          <w:u w:val="none"/>
          <w:lang w:val="en-US" w:eastAsia="zh-CN"/>
        </w:rPr>
        <w:t>文件</w:t>
      </w:r>
      <w:r>
        <w:rPr>
          <w:rFonts w:hint="eastAsia"/>
          <w:color w:val="auto"/>
          <w:highlight w:val="none"/>
          <w:u w:val="none"/>
        </w:rPr>
        <w:t>要求</w:t>
      </w:r>
      <w:r>
        <w:rPr>
          <w:rFonts w:hint="eastAsia"/>
          <w:color w:val="auto"/>
          <w:highlight w:val="none"/>
          <w:u w:val="none"/>
          <w:lang w:eastAsia="zh-CN"/>
        </w:rPr>
        <w:t>，</w:t>
      </w:r>
      <w:r>
        <w:rPr>
          <w:rFonts w:hint="eastAsia"/>
          <w:highlight w:val="none"/>
        </w:rPr>
        <w:t>培育发展数据要素市场，</w:t>
      </w:r>
      <w:r>
        <w:rPr>
          <w:rFonts w:hint="eastAsia"/>
          <w:highlight w:val="none"/>
          <w:lang w:val="en-US" w:eastAsia="zh-CN"/>
        </w:rPr>
        <w:t>规范数据登记行为，促进数据要素合规开发利用及流通，进一步释放数据要素潜力。</w:t>
      </w: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二、政策依据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t>依据</w:t>
      </w:r>
      <w:r>
        <w:rPr>
          <w:rFonts w:hint="eastAsia"/>
          <w:color w:val="auto"/>
          <w:highlight w:val="none"/>
          <w:u w:val="none"/>
        </w:rPr>
        <w:t>《中共中央</w:t>
      </w:r>
      <w:r>
        <w:rPr>
          <w:rFonts w:hint="eastAsia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u w:val="none"/>
        </w:rPr>
        <w:t>国务院关于构建数据基础制度更好发挥数据要素作用的意见》</w:t>
      </w:r>
      <w:r>
        <w:rPr>
          <w:rFonts w:hint="eastAsia"/>
          <w:lang w:val="en-US" w:eastAsia="zh-CN"/>
        </w:rPr>
        <w:t>《“数据要素×”三年行动计划（2024—2026年）》（国数政策〔2023〕11号）《关于加强数据资产管理的指导意见》（财资〔2023〕141号）</w:t>
      </w:r>
      <w:r>
        <w:t>等有关要求，制定</w:t>
      </w:r>
      <w:r>
        <w:rPr>
          <w:rFonts w:hint="eastAsia"/>
          <w:lang w:val="en-US" w:eastAsia="zh-CN"/>
        </w:rPr>
        <w:t>本办法</w:t>
      </w:r>
      <w:r>
        <w:t>。</w:t>
      </w: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包括总则、登记事项、登记程序、登记证书的使用、监督与管理、附则共六章37条。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总则。共4条，具体条款包括制定目的、术语定义、登记主体及主管部门。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lang w:val="en-US" w:eastAsia="zh-CN"/>
        </w:rPr>
        <w:t>登记事项。共6条，主要</w:t>
      </w:r>
      <w:r>
        <w:rPr>
          <w:rFonts w:hint="eastAsia"/>
          <w:color w:val="auto"/>
          <w:highlight w:val="none"/>
          <w:lang w:val="en-US" w:eastAsia="zh-CN"/>
        </w:rPr>
        <w:t>明确了包括委托登记、实名登记、数据资源登记、数据产品登记及数据资产登记等在内的登记事项。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登记程序。共8条，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主要明确了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申请递交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、登记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材料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审查、登记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公示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、登记证书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发放等登记流程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登记证书的使用。共7条，主要明确了登记主体权利、登记证书效力、注销登记、登记信息变更、续展登记、撤销登记情形等内容。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监督与管理。共9条，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主要明确了登记机构应履行的责任及义务。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附则。具体条款包括办法适用范围、办法解释单位及施行日期。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70AE875-17D5-42ED-B166-A24B838AE00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sdt>
      <w:sdtPr>
        <w:id w:val="-1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0" w:firstLineChars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841CB"/>
    <w:multiLevelType w:val="singleLevel"/>
    <w:tmpl w:val="0B1841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ThiYWE3MWU5Zjk4NDE4ZmNkYjQwYzc5MTdlNjMifQ=="/>
  </w:docVars>
  <w:rsids>
    <w:rsidRoot w:val="22FE7D1D"/>
    <w:rsid w:val="038F7D62"/>
    <w:rsid w:val="04363AE8"/>
    <w:rsid w:val="048264EC"/>
    <w:rsid w:val="06221D30"/>
    <w:rsid w:val="09B37269"/>
    <w:rsid w:val="0C161EE9"/>
    <w:rsid w:val="126319B8"/>
    <w:rsid w:val="18357EE7"/>
    <w:rsid w:val="18F14A1E"/>
    <w:rsid w:val="197E1C46"/>
    <w:rsid w:val="1A27323B"/>
    <w:rsid w:val="1A3A5EFD"/>
    <w:rsid w:val="1A64534F"/>
    <w:rsid w:val="1AD40A8A"/>
    <w:rsid w:val="1B1E1342"/>
    <w:rsid w:val="2235168D"/>
    <w:rsid w:val="224E4F24"/>
    <w:rsid w:val="22FE7D1D"/>
    <w:rsid w:val="277C2A42"/>
    <w:rsid w:val="28255269"/>
    <w:rsid w:val="2BB03299"/>
    <w:rsid w:val="2BF770E0"/>
    <w:rsid w:val="2D822D30"/>
    <w:rsid w:val="2E05523C"/>
    <w:rsid w:val="32B14F42"/>
    <w:rsid w:val="35FE09B2"/>
    <w:rsid w:val="374750E9"/>
    <w:rsid w:val="388A6CFC"/>
    <w:rsid w:val="3A717BF7"/>
    <w:rsid w:val="3BD6033C"/>
    <w:rsid w:val="3F122DD0"/>
    <w:rsid w:val="42E32966"/>
    <w:rsid w:val="44F57B90"/>
    <w:rsid w:val="4A70358B"/>
    <w:rsid w:val="516923D4"/>
    <w:rsid w:val="56F854E7"/>
    <w:rsid w:val="5FA21E32"/>
    <w:rsid w:val="60ED16F1"/>
    <w:rsid w:val="62870583"/>
    <w:rsid w:val="63350A29"/>
    <w:rsid w:val="63B5237D"/>
    <w:rsid w:val="657D666D"/>
    <w:rsid w:val="66930AFF"/>
    <w:rsid w:val="66AF1336"/>
    <w:rsid w:val="6DB34B09"/>
    <w:rsid w:val="6DB94633"/>
    <w:rsid w:val="6FA77717"/>
    <w:rsid w:val="6FD75233"/>
    <w:rsid w:val="71B22D8D"/>
    <w:rsid w:val="782B4F08"/>
    <w:rsid w:val="78CD4FAD"/>
    <w:rsid w:val="7C4B3C37"/>
    <w:rsid w:val="7DC87302"/>
    <w:rsid w:val="7E3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keepLines/>
      <w:widowControl w:val="0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_GB2312"/>
    </w:rPr>
  </w:style>
  <w:style w:type="paragraph" w:styleId="8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楷体_GB2312" w:hAnsi="楷体_GB2312" w:eastAsia="楷体_GB2312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4"/>
    </w:pPr>
    <w:rPr>
      <w:rFonts w:ascii="仿宋_GB2312" w:hAnsi="仿宋_GB2312" w:eastAsia="仿宋_GB2312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/>
      <w:sz w:val="36"/>
    </w:rPr>
  </w:style>
  <w:style w:type="paragraph" w:styleId="3">
    <w:name w:val="Body Text Indent"/>
    <w:basedOn w:val="1"/>
    <w:next w:val="4"/>
    <w:qFormat/>
    <w:uiPriority w:val="99"/>
    <w:pPr>
      <w:spacing w:line="560" w:lineRule="exact"/>
    </w:pPr>
    <w:rPr>
      <w:rFonts w:hAnsi="Times New Roman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华文仿宋"/>
      <w:sz w:val="36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6">
    <w:name w:val="Hyperlink"/>
    <w:basedOn w:val="15"/>
    <w:uiPriority w:val="0"/>
    <w:rPr>
      <w:color w:val="0000FF"/>
      <w:u w:val="single"/>
    </w:rPr>
  </w:style>
  <w:style w:type="character" w:customStyle="1" w:styleId="17">
    <w:name w:val="标题 3 Char"/>
    <w:link w:val="7"/>
    <w:qFormat/>
    <w:uiPriority w:val="0"/>
    <w:rPr>
      <w:rFonts w:eastAsia="楷体_GB2312"/>
    </w:rPr>
  </w:style>
  <w:style w:type="character" w:customStyle="1" w:styleId="18">
    <w:name w:val="标题 4 Char"/>
    <w:link w:val="8"/>
    <w:qFormat/>
    <w:uiPriority w:val="0"/>
    <w:rPr>
      <w:rFonts w:ascii="楷体_GB2312" w:hAnsi="楷体_GB2312" w:eastAsia="楷体_GB2312"/>
    </w:rPr>
  </w:style>
  <w:style w:type="character" w:customStyle="1" w:styleId="19">
    <w:name w:val="font11"/>
    <w:basedOn w:val="1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22566</Words>
  <Characters>23166</Characters>
  <Lines>0</Lines>
  <Paragraphs>0</Paragraphs>
  <TotalTime>8</TotalTime>
  <ScaleCrop>false</ScaleCrop>
  <LinksUpToDate>false</LinksUpToDate>
  <CharactersWithSpaces>23169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2024-03-25T06:04:00Z</dcterms:created>
  <dc:creator>范冬冬</dc:creator>
  <cp:lastModifiedBy>Administrator</cp:lastModifiedBy>
  <cp:lastPrinted>2024-05-20T03:33:00Z</cp:lastPrinted>
  <dcterms:modified xsi:type="dcterms:W3CDTF">2024-05-27T08:24:37Z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6D83BD4F8C24440D8BA9D8C2B9C5A880_13</vt:lpwstr>
  </property>
</Properties>
</file>